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BF" w:rsidRPr="00F77DBF" w:rsidRDefault="00F77DBF" w:rsidP="009507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77DBF" w:rsidRPr="00DF6F99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Утверждены</w:t>
      </w:r>
    </w:p>
    <w:p w:rsidR="00F77DBF" w:rsidRPr="00950736" w:rsidRDefault="00950736" w:rsidP="00950736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Приказом по</w:t>
      </w:r>
      <w:r w:rsidRPr="009507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ГКОУ РД «СОШ Ботлихского района»</w:t>
      </w:r>
    </w:p>
    <w:p w:rsidR="00F77DBF" w:rsidRDefault="00F77DBF" w:rsidP="00F77DBF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50736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B62305">
        <w:rPr>
          <w:rFonts w:ascii="Times New Roman" w:eastAsia="Calibri" w:hAnsi="Times New Roman" w:cs="Times New Roman"/>
          <w:sz w:val="24"/>
          <w:szCs w:val="24"/>
        </w:rPr>
        <w:t>55</w:t>
      </w:r>
      <w:r w:rsidR="00950736">
        <w:rPr>
          <w:rFonts w:ascii="Times New Roman" w:eastAsia="Calibri" w:hAnsi="Times New Roman" w:cs="Times New Roman"/>
          <w:sz w:val="24"/>
          <w:szCs w:val="24"/>
        </w:rPr>
        <w:t xml:space="preserve"> от «01»09.2022г</w:t>
      </w:r>
    </w:p>
    <w:p w:rsidR="00950736" w:rsidRDefault="00950736" w:rsidP="00950736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Директор школы________Сагитов З.З</w:t>
      </w:r>
    </w:p>
    <w:p w:rsidR="00950736" w:rsidRPr="00DF6F99" w:rsidRDefault="00950736" w:rsidP="00F77DBF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Правила обмена деловыми подарками</w:t>
      </w:r>
      <w:bookmarkStart w:id="0" w:name="_GoBack"/>
      <w:bookmarkEnd w:id="0"/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и знаками делового гостеприимства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DBF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950736">
        <w:rPr>
          <w:rFonts w:ascii="Times New Roman" w:eastAsia="Calibri" w:hAnsi="Times New Roman" w:cs="Times New Roman"/>
          <w:b/>
          <w:sz w:val="24"/>
          <w:szCs w:val="24"/>
        </w:rPr>
        <w:t>ГКОУ РД «СОШ Ботлихского района»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:rsidR="00F77DBF" w:rsidRPr="00DF6F99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1.1. Правила обмена деловыми подарками и знаками делового гостеприимства в </w:t>
      </w:r>
      <w:r w:rsidR="00950736" w:rsidRPr="00950736">
        <w:rPr>
          <w:rFonts w:ascii="Times New Roman" w:eastAsia="Calibri" w:hAnsi="Times New Roman" w:cs="Times New Roman"/>
          <w:sz w:val="24"/>
          <w:szCs w:val="24"/>
        </w:rPr>
        <w:t>ГКОУ РД «СОШ Ботлихского района»</w:t>
      </w:r>
      <w:r w:rsidR="00950736"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1.2. Правила определяют единые для всех работников </w:t>
      </w:r>
      <w:r w:rsidR="00950736">
        <w:rPr>
          <w:rFonts w:ascii="Times New Roman" w:eastAsia="Calibri" w:hAnsi="Times New Roman" w:cs="Times New Roman"/>
          <w:sz w:val="24"/>
          <w:szCs w:val="24"/>
        </w:rPr>
        <w:t>ГКОУ РД «СОШ Ботлихского района»</w:t>
      </w:r>
      <w:r w:rsidR="007C41E7" w:rsidRPr="00DF6F99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DF6F9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Учреждение) требования к дарению и принятию деловых подарков.</w:t>
      </w:r>
    </w:p>
    <w:p w:rsidR="00F77DBF" w:rsidRPr="00DF6F99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2. Требования, предъявляемые к деловым подаркам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</w:t>
      </w: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также представительские расходы на деловое гостеприимство должны соответствовать следующим критериям: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прямо связаны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работников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 при обмене деловыми подарками и знаками делового гостеприимства 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3.11. Работник Учреждения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3.13. Работникам Учреждения запрещается: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DF6F9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 w:rsidSect="0095073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801" w:rsidRDefault="00B87801" w:rsidP="00F77DBF">
      <w:pPr>
        <w:spacing w:after="0" w:line="240" w:lineRule="auto"/>
      </w:pPr>
      <w:r>
        <w:separator/>
      </w:r>
    </w:p>
  </w:endnote>
  <w:endnote w:type="continuationSeparator" w:id="0">
    <w:p w:rsidR="00B87801" w:rsidRDefault="00B87801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801" w:rsidRDefault="00B87801" w:rsidP="00F77DBF">
      <w:pPr>
        <w:spacing w:after="0" w:line="240" w:lineRule="auto"/>
      </w:pPr>
      <w:r>
        <w:separator/>
      </w:r>
    </w:p>
  </w:footnote>
  <w:footnote w:type="continuationSeparator" w:id="0">
    <w:p w:rsidR="00B87801" w:rsidRDefault="00B87801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E7"/>
    <w:rsid w:val="00106686"/>
    <w:rsid w:val="001F1DF6"/>
    <w:rsid w:val="002F4290"/>
    <w:rsid w:val="003C56FD"/>
    <w:rsid w:val="003E50C1"/>
    <w:rsid w:val="00475560"/>
    <w:rsid w:val="004D4A85"/>
    <w:rsid w:val="007728A2"/>
    <w:rsid w:val="007C20FD"/>
    <w:rsid w:val="007C41E7"/>
    <w:rsid w:val="00950736"/>
    <w:rsid w:val="00A001E7"/>
    <w:rsid w:val="00A17C11"/>
    <w:rsid w:val="00B62305"/>
    <w:rsid w:val="00B8756B"/>
    <w:rsid w:val="00B87801"/>
    <w:rsid w:val="00B94018"/>
    <w:rsid w:val="00DF6F99"/>
    <w:rsid w:val="00E76BA8"/>
    <w:rsid w:val="00F3640E"/>
    <w:rsid w:val="00F77DBF"/>
    <w:rsid w:val="00F976EE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9B70"/>
  <w15:docId w15:val="{103F09D4-6018-46ED-9454-135A1928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Zubair</cp:lastModifiedBy>
  <cp:revision>3</cp:revision>
  <dcterms:created xsi:type="dcterms:W3CDTF">2023-01-20T10:01:00Z</dcterms:created>
  <dcterms:modified xsi:type="dcterms:W3CDTF">2023-01-20T10:09:00Z</dcterms:modified>
</cp:coreProperties>
</file>